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keepLines/>
        <w:spacing w:line="240" w:lineRule="auto"/>
        <w:rPr>
          <w:rFonts w:hint="default"/>
          <w:b/>
          <w:bCs/>
          <w:sz w:val="42"/>
        </w:rPr>
      </w:pPr>
      <w:bookmarkStart w:id="0" w:name="bookmark41"/>
      <w:bookmarkStart w:id="1" w:name="bookmark40"/>
      <w:bookmarkStart w:id="2" w:name="bookmark42"/>
      <w:r>
        <w:rPr>
          <w:b/>
          <w:bCs/>
          <w:color w:val="000000"/>
          <w:sz w:val="42"/>
        </w:rPr>
        <w:t>全国优秀农民工报审表</w:t>
      </w:r>
      <w:bookmarkEnd w:id="0"/>
      <w:bookmarkEnd w:id="1"/>
      <w:bookmarkEnd w:id="2"/>
    </w:p>
    <w:tbl>
      <w:tblPr>
        <w:tblStyle w:val="6"/>
        <w:tblW w:w="10158" w:type="dxa"/>
        <w:jc w:val="center"/>
        <w:tblLayout w:type="fixed"/>
        <w:tblCellMar>
          <w:top w:w="0" w:type="dxa"/>
          <w:left w:w="10" w:type="dxa"/>
          <w:bottom w:w="0" w:type="dxa"/>
          <w:right w:w="10" w:type="dxa"/>
        </w:tblCellMar>
      </w:tblPr>
      <w:tblGrid>
        <w:gridCol w:w="1622"/>
        <w:gridCol w:w="1238"/>
        <w:gridCol w:w="1458"/>
        <w:gridCol w:w="1188"/>
        <w:gridCol w:w="1458"/>
        <w:gridCol w:w="1184"/>
        <w:gridCol w:w="2010"/>
      </w:tblGrid>
      <w:tr>
        <w:tblPrEx>
          <w:tblCellMar>
            <w:top w:w="0" w:type="dxa"/>
            <w:left w:w="10" w:type="dxa"/>
            <w:bottom w:w="0" w:type="dxa"/>
            <w:right w:w="10" w:type="dxa"/>
          </w:tblCellMar>
        </w:tblPrEx>
        <w:trPr>
          <w:trHeight w:val="656" w:hRule="exact"/>
          <w:jc w:val="center"/>
        </w:trPr>
        <w:tc>
          <w:tcPr>
            <w:tcW w:w="1622" w:type="dxa"/>
            <w:tcBorders>
              <w:top w:val="single" w:color="auto" w:sz="4" w:space="0"/>
              <w:left w:val="single" w:color="auto" w:sz="4" w:space="0"/>
              <w:bottom w:val="nil"/>
              <w:right w:val="nil"/>
              <w:tl2br w:val="nil"/>
              <w:tr2bl w:val="nil"/>
            </w:tcBorders>
            <w:shd w:val="clear" w:color="auto" w:fill="FFFFFF"/>
            <w:noWrap/>
            <w:vAlign w:val="center"/>
          </w:tcPr>
          <w:p>
            <w:pPr>
              <w:pStyle w:val="11"/>
              <w:spacing w:line="240" w:lineRule="auto"/>
              <w:ind w:left="0" w:leftChars="0" w:firstLine="0" w:firstLineChars="0"/>
              <w:jc w:val="center"/>
              <w:rPr>
                <w:rFonts w:hint="eastAsia" w:ascii="华文仿宋" w:hAnsi="华文仿宋" w:eastAsia="华文仿宋" w:cs="华文仿宋"/>
                <w:sz w:val="24"/>
                <w:szCs w:val="24"/>
              </w:rPr>
            </w:pPr>
            <w:r>
              <w:rPr>
                <w:rFonts w:hint="eastAsia" w:ascii="华文仿宋" w:hAnsi="华文仿宋" w:eastAsia="华文仿宋" w:cs="华文仿宋"/>
                <w:color w:val="000000"/>
                <w:sz w:val="24"/>
                <w:szCs w:val="24"/>
              </w:rPr>
              <w:t>姓 名</w:t>
            </w:r>
          </w:p>
        </w:tc>
        <w:tc>
          <w:tcPr>
            <w:tcW w:w="1238" w:type="dxa"/>
            <w:tcBorders>
              <w:top w:val="single" w:color="auto" w:sz="4" w:space="0"/>
              <w:left w:val="single" w:color="auto" w:sz="4" w:space="0"/>
              <w:bottom w:val="nil"/>
              <w:right w:val="nil"/>
              <w:tl2br w:val="nil"/>
              <w:tr2bl w:val="nil"/>
            </w:tcBorders>
            <w:shd w:val="clear" w:color="auto" w:fill="FFFFFF"/>
            <w:noWrap/>
            <w:vAlign w:val="center"/>
          </w:tcPr>
          <w:p>
            <w:pPr>
              <w:pStyle w:val="3"/>
              <w:widowControl w:val="0"/>
              <w:spacing w:line="240" w:lineRule="auto"/>
              <w:jc w:val="center"/>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刘建国</w:t>
            </w:r>
          </w:p>
        </w:tc>
        <w:tc>
          <w:tcPr>
            <w:tcW w:w="1458" w:type="dxa"/>
            <w:tcBorders>
              <w:top w:val="single" w:color="auto" w:sz="4" w:space="0"/>
              <w:left w:val="single" w:color="auto" w:sz="4" w:space="0"/>
              <w:bottom w:val="nil"/>
              <w:right w:val="nil"/>
              <w:tl2br w:val="nil"/>
              <w:tr2bl w:val="nil"/>
            </w:tcBorders>
            <w:shd w:val="clear" w:color="auto" w:fill="FFFFFF"/>
            <w:noWrap/>
            <w:vAlign w:val="center"/>
          </w:tcPr>
          <w:p>
            <w:pPr>
              <w:pStyle w:val="3"/>
              <w:widowControl w:val="0"/>
              <w:spacing w:line="240" w:lineRule="auto"/>
              <w:jc w:val="center"/>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性 别</w:t>
            </w:r>
          </w:p>
        </w:tc>
        <w:tc>
          <w:tcPr>
            <w:tcW w:w="1188" w:type="dxa"/>
            <w:tcBorders>
              <w:top w:val="single" w:color="auto" w:sz="4" w:space="0"/>
              <w:left w:val="single" w:color="auto" w:sz="4" w:space="0"/>
              <w:bottom w:val="nil"/>
              <w:right w:val="nil"/>
              <w:tl2br w:val="nil"/>
              <w:tr2bl w:val="nil"/>
            </w:tcBorders>
            <w:shd w:val="clear" w:color="auto" w:fill="FFFFFF"/>
            <w:noWrap/>
            <w:vAlign w:val="center"/>
          </w:tcPr>
          <w:p>
            <w:pPr>
              <w:pStyle w:val="3"/>
              <w:widowControl w:val="0"/>
              <w:spacing w:line="240" w:lineRule="auto"/>
              <w:jc w:val="center"/>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男</w:t>
            </w:r>
          </w:p>
        </w:tc>
        <w:tc>
          <w:tcPr>
            <w:tcW w:w="1458" w:type="dxa"/>
            <w:tcBorders>
              <w:top w:val="single" w:color="auto" w:sz="4" w:space="0"/>
              <w:left w:val="single" w:color="auto" w:sz="4" w:space="0"/>
              <w:bottom w:val="nil"/>
              <w:right w:val="nil"/>
              <w:tl2br w:val="nil"/>
              <w:tr2bl w:val="nil"/>
            </w:tcBorders>
            <w:shd w:val="clear" w:color="auto" w:fill="FFFFFF"/>
            <w:noWrap/>
            <w:vAlign w:val="center"/>
          </w:tcPr>
          <w:p>
            <w:pPr>
              <w:pStyle w:val="3"/>
              <w:widowControl w:val="0"/>
              <w:spacing w:line="240" w:lineRule="auto"/>
              <w:jc w:val="center"/>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民 族</w:t>
            </w:r>
          </w:p>
        </w:tc>
        <w:tc>
          <w:tcPr>
            <w:tcW w:w="1184" w:type="dxa"/>
            <w:tcBorders>
              <w:top w:val="single" w:color="auto" w:sz="4" w:space="0"/>
              <w:left w:val="single" w:color="auto" w:sz="4" w:space="0"/>
              <w:bottom w:val="nil"/>
              <w:right w:val="nil"/>
              <w:tl2br w:val="nil"/>
              <w:tr2bl w:val="nil"/>
            </w:tcBorders>
            <w:shd w:val="clear" w:color="auto" w:fill="FFFFFF"/>
            <w:noWrap/>
            <w:vAlign w:val="center"/>
          </w:tcPr>
          <w:p>
            <w:pPr>
              <w:pStyle w:val="3"/>
              <w:widowControl w:val="0"/>
              <w:spacing w:line="240" w:lineRule="auto"/>
              <w:jc w:val="center"/>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汉族</w:t>
            </w:r>
          </w:p>
        </w:tc>
        <w:tc>
          <w:tcPr>
            <w:tcW w:w="2010" w:type="dxa"/>
            <w:vMerge w:val="restart"/>
            <w:tcBorders>
              <w:top w:val="single" w:color="auto" w:sz="4" w:space="0"/>
              <w:left w:val="single" w:color="auto" w:sz="4" w:space="0"/>
              <w:bottom w:val="nil"/>
              <w:right w:val="single" w:color="auto" w:sz="4" w:space="0"/>
              <w:tl2br w:val="nil"/>
              <w:tr2bl w:val="nil"/>
            </w:tcBorders>
            <w:shd w:val="clear" w:color="auto" w:fill="FFFFFF"/>
            <w:noWrap/>
            <w:vAlign w:val="center"/>
          </w:tcPr>
          <w:p>
            <w:pPr>
              <w:pStyle w:val="11"/>
              <w:spacing w:line="240" w:lineRule="auto"/>
              <w:ind w:firstLine="0"/>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lang w:val="en-US" w:eastAsia="zh-CN"/>
              </w:rPr>
              <w:drawing>
                <wp:inline distT="0" distB="0" distL="114300" distR="114300">
                  <wp:extent cx="1203960" cy="1734820"/>
                  <wp:effectExtent l="0" t="0" r="15240" b="17780"/>
                  <wp:docPr id="6" name="图片 1" descr="相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相片"/>
                          <pic:cNvPicPr>
                            <a:picLocks noChangeAspect="1"/>
                          </pic:cNvPicPr>
                        </pic:nvPicPr>
                        <pic:blipFill>
                          <a:blip r:embed="rId6"/>
                          <a:stretch>
                            <a:fillRect/>
                          </a:stretch>
                        </pic:blipFill>
                        <pic:spPr>
                          <a:xfrm>
                            <a:off x="0" y="0"/>
                            <a:ext cx="1203960" cy="1734820"/>
                          </a:xfrm>
                          <a:prstGeom prst="rect">
                            <a:avLst/>
                          </a:prstGeom>
                          <a:noFill/>
                          <a:ln>
                            <a:noFill/>
                          </a:ln>
                        </pic:spPr>
                      </pic:pic>
                    </a:graphicData>
                  </a:graphic>
                </wp:inline>
              </w:drawing>
            </w:r>
            <w:r>
              <w:rPr>
                <w:rFonts w:hint="eastAsia" w:ascii="华文仿宋" w:hAnsi="华文仿宋" w:eastAsia="华文仿宋" w:cs="华文仿宋"/>
                <w:color w:val="000000"/>
                <w:sz w:val="24"/>
                <w:szCs w:val="24"/>
              </w:rPr>
              <w:t>照片</w:t>
            </w:r>
          </w:p>
        </w:tc>
      </w:tr>
      <w:tr>
        <w:tblPrEx>
          <w:tblCellMar>
            <w:top w:w="0" w:type="dxa"/>
            <w:left w:w="10" w:type="dxa"/>
            <w:bottom w:w="0" w:type="dxa"/>
            <w:right w:w="10" w:type="dxa"/>
          </w:tblCellMar>
        </w:tblPrEx>
        <w:trPr>
          <w:trHeight w:val="600" w:hRule="exact"/>
          <w:jc w:val="center"/>
        </w:trPr>
        <w:tc>
          <w:tcPr>
            <w:tcW w:w="1622" w:type="dxa"/>
            <w:tcBorders>
              <w:top w:val="single" w:color="auto" w:sz="4" w:space="0"/>
              <w:left w:val="single" w:color="auto" w:sz="4" w:space="0"/>
              <w:bottom w:val="nil"/>
              <w:right w:val="nil"/>
              <w:tl2br w:val="nil"/>
              <w:tr2bl w:val="nil"/>
            </w:tcBorders>
            <w:shd w:val="clear" w:color="auto" w:fill="FFFFFF"/>
            <w:noWrap/>
            <w:vAlign w:val="center"/>
          </w:tcPr>
          <w:p>
            <w:pPr>
              <w:pStyle w:val="11"/>
              <w:spacing w:line="240" w:lineRule="auto"/>
              <w:ind w:left="0" w:leftChars="0" w:firstLine="0" w:firstLineChars="0"/>
              <w:jc w:val="center"/>
              <w:rPr>
                <w:rFonts w:hint="eastAsia" w:ascii="华文仿宋" w:hAnsi="华文仿宋" w:eastAsia="华文仿宋" w:cs="华文仿宋"/>
                <w:sz w:val="24"/>
                <w:szCs w:val="24"/>
              </w:rPr>
            </w:pPr>
            <w:r>
              <w:rPr>
                <w:rFonts w:hint="eastAsia" w:ascii="华文仿宋" w:hAnsi="华文仿宋" w:eastAsia="华文仿宋" w:cs="华文仿宋"/>
                <w:color w:val="000000"/>
                <w:sz w:val="24"/>
                <w:szCs w:val="24"/>
              </w:rPr>
              <w:t>出生年月</w:t>
            </w:r>
          </w:p>
        </w:tc>
        <w:tc>
          <w:tcPr>
            <w:tcW w:w="1238" w:type="dxa"/>
            <w:tcBorders>
              <w:top w:val="single" w:color="auto" w:sz="4" w:space="0"/>
              <w:left w:val="single" w:color="auto" w:sz="4" w:space="0"/>
              <w:bottom w:val="nil"/>
              <w:right w:val="nil"/>
              <w:tl2br w:val="nil"/>
              <w:tr2bl w:val="nil"/>
            </w:tcBorders>
            <w:shd w:val="clear" w:color="auto" w:fill="FFFFFF"/>
            <w:noWrap/>
            <w:vAlign w:val="center"/>
          </w:tcPr>
          <w:p>
            <w:pPr>
              <w:widowControl w:val="0"/>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1976</w:t>
            </w:r>
            <w:r>
              <w:rPr>
                <w:rFonts w:hint="eastAsia" w:ascii="宋体" w:hAnsi="宋体" w:eastAsia="宋体" w:cs="宋体"/>
                <w:color w:val="000000"/>
                <w:sz w:val="24"/>
                <w:szCs w:val="24"/>
                <w:lang w:eastAsia="zh-CN"/>
              </w:rPr>
              <w:t>年</w:t>
            </w:r>
            <w:r>
              <w:rPr>
                <w:rFonts w:hint="eastAsia" w:ascii="宋体" w:hAnsi="宋体" w:eastAsia="宋体" w:cs="宋体"/>
                <w:color w:val="000000"/>
                <w:sz w:val="24"/>
                <w:szCs w:val="24"/>
              </w:rPr>
              <w:t>2</w:t>
            </w:r>
            <w:r>
              <w:rPr>
                <w:rFonts w:hint="eastAsia" w:ascii="宋体" w:hAnsi="宋体" w:eastAsia="宋体" w:cs="宋体"/>
                <w:color w:val="000000"/>
                <w:sz w:val="24"/>
                <w:szCs w:val="24"/>
                <w:lang w:eastAsia="zh-CN"/>
              </w:rPr>
              <w:t>月</w:t>
            </w:r>
          </w:p>
        </w:tc>
        <w:tc>
          <w:tcPr>
            <w:tcW w:w="1458" w:type="dxa"/>
            <w:tcBorders>
              <w:top w:val="single" w:color="auto" w:sz="4" w:space="0"/>
              <w:left w:val="single" w:color="auto" w:sz="4" w:space="0"/>
              <w:bottom w:val="nil"/>
              <w:right w:val="nil"/>
              <w:tl2br w:val="nil"/>
              <w:tr2bl w:val="nil"/>
            </w:tcBorders>
            <w:shd w:val="clear" w:color="auto" w:fill="FFFFFF"/>
            <w:noWrap/>
            <w:vAlign w:val="center"/>
          </w:tcPr>
          <w:p>
            <w:pPr>
              <w:pStyle w:val="11"/>
              <w:spacing w:line="240" w:lineRule="auto"/>
              <w:ind w:firstLine="0"/>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文化程度</w:t>
            </w:r>
          </w:p>
        </w:tc>
        <w:tc>
          <w:tcPr>
            <w:tcW w:w="1188" w:type="dxa"/>
            <w:tcBorders>
              <w:top w:val="single" w:color="auto" w:sz="4" w:space="0"/>
              <w:left w:val="single" w:color="auto" w:sz="4" w:space="0"/>
              <w:bottom w:val="nil"/>
              <w:right w:val="nil"/>
              <w:tl2br w:val="nil"/>
              <w:tr2bl w:val="nil"/>
            </w:tcBorders>
            <w:shd w:val="clear" w:color="auto" w:fill="FFFFFF"/>
            <w:noWrap/>
            <w:vAlign w:val="center"/>
          </w:tcPr>
          <w:p>
            <w:pPr>
              <w:widowControl w:val="0"/>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大专</w:t>
            </w:r>
            <w:r>
              <w:rPr>
                <w:rFonts w:hint="eastAsia" w:ascii="宋体" w:hAnsi="宋体" w:eastAsia="宋体" w:cs="宋体"/>
                <w:color w:val="000000"/>
                <w:sz w:val="24"/>
                <w:szCs w:val="24"/>
                <w:lang w:eastAsia="zh-CN"/>
              </w:rPr>
              <w:t>（自考）</w:t>
            </w:r>
          </w:p>
        </w:tc>
        <w:tc>
          <w:tcPr>
            <w:tcW w:w="1458" w:type="dxa"/>
            <w:tcBorders>
              <w:top w:val="single" w:color="auto" w:sz="4" w:space="0"/>
              <w:left w:val="single" w:color="auto" w:sz="4" w:space="0"/>
              <w:bottom w:val="nil"/>
              <w:right w:val="nil"/>
              <w:tl2br w:val="nil"/>
              <w:tr2bl w:val="nil"/>
            </w:tcBorders>
            <w:shd w:val="clear" w:color="auto" w:fill="FFFFFF"/>
            <w:noWrap/>
            <w:vAlign w:val="center"/>
          </w:tcPr>
          <w:p>
            <w:pPr>
              <w:pStyle w:val="11"/>
              <w:spacing w:line="240" w:lineRule="auto"/>
              <w:ind w:firstLine="0"/>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政治面貌</w:t>
            </w:r>
          </w:p>
        </w:tc>
        <w:tc>
          <w:tcPr>
            <w:tcW w:w="1184" w:type="dxa"/>
            <w:tcBorders>
              <w:top w:val="single" w:color="auto" w:sz="4" w:space="0"/>
              <w:left w:val="single" w:color="auto" w:sz="4" w:space="0"/>
              <w:bottom w:val="nil"/>
              <w:right w:val="nil"/>
              <w:tl2br w:val="nil"/>
              <w:tr2bl w:val="nil"/>
            </w:tcBorders>
            <w:shd w:val="clear" w:color="auto" w:fill="FFFFFF"/>
            <w:noWrap/>
            <w:vAlign w:val="center"/>
          </w:tcPr>
          <w:p>
            <w:pPr>
              <w:widowControl w:val="0"/>
              <w:jc w:val="center"/>
              <w:rPr>
                <w:rFonts w:hint="eastAsia" w:ascii="宋体" w:hAnsi="宋体" w:eastAsia="宋体" w:cs="宋体"/>
                <w:color w:val="000000"/>
                <w:sz w:val="24"/>
                <w:szCs w:val="24"/>
              </w:rPr>
            </w:pPr>
            <w:r>
              <w:rPr>
                <w:rFonts w:hint="eastAsia" w:ascii="宋体" w:hAnsi="宋体" w:eastAsia="宋体" w:cs="宋体"/>
                <w:color w:val="000000"/>
                <w:sz w:val="24"/>
                <w:szCs w:val="24"/>
              </w:rPr>
              <w:t>中共党员</w:t>
            </w:r>
          </w:p>
        </w:tc>
        <w:tc>
          <w:tcPr>
            <w:tcW w:w="2010" w:type="dxa"/>
            <w:vMerge w:val="continue"/>
            <w:tcBorders>
              <w:top w:val="nil"/>
              <w:left w:val="single" w:color="auto" w:sz="4" w:space="0"/>
              <w:bottom w:val="nil"/>
              <w:right w:val="single" w:color="auto" w:sz="4" w:space="0"/>
              <w:tl2br w:val="nil"/>
              <w:tr2bl w:val="nil"/>
            </w:tcBorders>
            <w:shd w:val="clear" w:color="auto" w:fill="FFFFFF"/>
            <w:noWrap/>
            <w:vAlign w:val="center"/>
          </w:tcPr>
          <w:p>
            <w:pPr>
              <w:rPr>
                <w:rFonts w:hint="eastAsia" w:ascii="华文仿宋" w:hAnsi="华文仿宋" w:eastAsia="华文仿宋" w:cs="华文仿宋"/>
                <w:sz w:val="24"/>
                <w:szCs w:val="24"/>
              </w:rPr>
            </w:pPr>
          </w:p>
        </w:tc>
      </w:tr>
      <w:tr>
        <w:tblPrEx>
          <w:tblCellMar>
            <w:top w:w="0" w:type="dxa"/>
            <w:left w:w="10" w:type="dxa"/>
            <w:bottom w:w="0" w:type="dxa"/>
            <w:right w:w="10" w:type="dxa"/>
          </w:tblCellMar>
        </w:tblPrEx>
        <w:trPr>
          <w:trHeight w:val="480" w:hRule="exact"/>
          <w:jc w:val="center"/>
        </w:trPr>
        <w:tc>
          <w:tcPr>
            <w:tcW w:w="1622" w:type="dxa"/>
            <w:tcBorders>
              <w:top w:val="single" w:color="auto" w:sz="4" w:space="0"/>
              <w:left w:val="single" w:color="auto" w:sz="4" w:space="0"/>
              <w:bottom w:val="nil"/>
              <w:right w:val="nil"/>
              <w:tl2br w:val="nil"/>
              <w:tr2bl w:val="nil"/>
            </w:tcBorders>
            <w:shd w:val="clear" w:color="auto" w:fill="FFFFFF"/>
            <w:noWrap/>
            <w:vAlign w:val="center"/>
          </w:tcPr>
          <w:p>
            <w:pPr>
              <w:pStyle w:val="11"/>
              <w:spacing w:line="240" w:lineRule="auto"/>
              <w:ind w:firstLine="260"/>
              <w:jc w:val="center"/>
              <w:rPr>
                <w:rFonts w:hint="eastAsia" w:ascii="华文仿宋" w:hAnsi="华文仿宋" w:eastAsia="华文仿宋" w:cs="华文仿宋"/>
                <w:sz w:val="24"/>
                <w:szCs w:val="24"/>
              </w:rPr>
            </w:pPr>
            <w:r>
              <w:rPr>
                <w:rFonts w:hint="eastAsia" w:ascii="华文仿宋" w:hAnsi="华文仿宋" w:eastAsia="华文仿宋" w:cs="华文仿宋"/>
                <w:color w:val="000000"/>
                <w:sz w:val="24"/>
                <w:szCs w:val="24"/>
              </w:rPr>
              <w:t>户籍地</w:t>
            </w:r>
          </w:p>
        </w:tc>
        <w:tc>
          <w:tcPr>
            <w:tcW w:w="6526" w:type="dxa"/>
            <w:gridSpan w:val="5"/>
            <w:tcBorders>
              <w:top w:val="single" w:color="auto" w:sz="4" w:space="0"/>
              <w:left w:val="single" w:color="auto" w:sz="4" w:space="0"/>
              <w:bottom w:val="nil"/>
              <w:right w:val="nil"/>
              <w:tl2br w:val="nil"/>
              <w:tr2bl w:val="nil"/>
            </w:tcBorders>
            <w:shd w:val="clear" w:color="auto" w:fill="FFFFFF"/>
            <w:noWrap/>
            <w:vAlign w:val="center"/>
          </w:tcPr>
          <w:p>
            <w:pPr>
              <w:widowControl w:val="0"/>
              <w:jc w:val="center"/>
              <w:rPr>
                <w:rFonts w:hint="eastAsia" w:ascii="宋体" w:hAnsi="宋体" w:eastAsia="宋体" w:cs="宋体"/>
                <w:color w:val="000000"/>
                <w:sz w:val="24"/>
                <w:szCs w:val="24"/>
              </w:rPr>
            </w:pPr>
            <w:r>
              <w:rPr>
                <w:rFonts w:hint="eastAsia" w:ascii="宋体" w:hAnsi="宋体" w:eastAsia="宋体" w:cs="宋体"/>
                <w:color w:val="000000"/>
                <w:sz w:val="24"/>
                <w:szCs w:val="24"/>
              </w:rPr>
              <w:t>山东省沂水县四十里堡镇三十里堡村</w:t>
            </w:r>
          </w:p>
        </w:tc>
        <w:tc>
          <w:tcPr>
            <w:tcW w:w="2010" w:type="dxa"/>
            <w:vMerge w:val="continue"/>
            <w:tcBorders>
              <w:top w:val="nil"/>
              <w:left w:val="single" w:color="auto" w:sz="4" w:space="0"/>
              <w:bottom w:val="nil"/>
              <w:right w:val="single" w:color="auto" w:sz="4" w:space="0"/>
              <w:tl2br w:val="nil"/>
              <w:tr2bl w:val="nil"/>
            </w:tcBorders>
            <w:shd w:val="clear" w:color="auto" w:fill="FFFFFF"/>
            <w:noWrap/>
            <w:vAlign w:val="center"/>
          </w:tcPr>
          <w:p>
            <w:pPr>
              <w:rPr>
                <w:rFonts w:hint="eastAsia" w:ascii="华文仿宋" w:hAnsi="华文仿宋" w:eastAsia="华文仿宋" w:cs="华文仿宋"/>
                <w:sz w:val="24"/>
                <w:szCs w:val="24"/>
              </w:rPr>
            </w:pPr>
          </w:p>
        </w:tc>
      </w:tr>
      <w:tr>
        <w:tblPrEx>
          <w:tblCellMar>
            <w:top w:w="0" w:type="dxa"/>
            <w:left w:w="10" w:type="dxa"/>
            <w:bottom w:w="0" w:type="dxa"/>
            <w:right w:w="10" w:type="dxa"/>
          </w:tblCellMar>
        </w:tblPrEx>
        <w:trPr>
          <w:trHeight w:val="484" w:hRule="exact"/>
          <w:jc w:val="center"/>
        </w:trPr>
        <w:tc>
          <w:tcPr>
            <w:tcW w:w="1622" w:type="dxa"/>
            <w:tcBorders>
              <w:top w:val="single" w:color="auto" w:sz="4" w:space="0"/>
              <w:left w:val="single" w:color="auto" w:sz="4" w:space="0"/>
              <w:bottom w:val="nil"/>
              <w:right w:val="nil"/>
              <w:tl2br w:val="nil"/>
              <w:tr2bl w:val="nil"/>
            </w:tcBorders>
            <w:shd w:val="clear" w:color="auto" w:fill="FFFFFF"/>
            <w:noWrap/>
            <w:vAlign w:val="center"/>
          </w:tcPr>
          <w:p>
            <w:pPr>
              <w:pStyle w:val="11"/>
              <w:spacing w:line="240" w:lineRule="auto"/>
              <w:ind w:firstLine="260"/>
              <w:jc w:val="center"/>
              <w:rPr>
                <w:rFonts w:hint="eastAsia" w:ascii="华文仿宋" w:hAnsi="华文仿宋" w:eastAsia="华文仿宋" w:cs="华文仿宋"/>
                <w:sz w:val="24"/>
                <w:szCs w:val="24"/>
              </w:rPr>
            </w:pPr>
            <w:r>
              <w:rPr>
                <w:rFonts w:hint="eastAsia" w:ascii="华文仿宋" w:hAnsi="华文仿宋" w:eastAsia="华文仿宋" w:cs="华文仿宋"/>
                <w:color w:val="000000"/>
                <w:sz w:val="24"/>
                <w:szCs w:val="24"/>
              </w:rPr>
              <w:t>工作单位</w:t>
            </w:r>
          </w:p>
        </w:tc>
        <w:tc>
          <w:tcPr>
            <w:tcW w:w="6526" w:type="dxa"/>
            <w:gridSpan w:val="5"/>
            <w:tcBorders>
              <w:top w:val="single" w:color="auto" w:sz="4" w:space="0"/>
              <w:left w:val="single" w:color="auto" w:sz="4" w:space="0"/>
              <w:bottom w:val="nil"/>
              <w:right w:val="nil"/>
              <w:tl2br w:val="nil"/>
              <w:tr2bl w:val="nil"/>
            </w:tcBorders>
            <w:shd w:val="clear" w:color="auto" w:fill="FFFFFF"/>
            <w:noWrap/>
            <w:vAlign w:val="center"/>
          </w:tcPr>
          <w:p>
            <w:pPr>
              <w:widowControl w:val="0"/>
              <w:jc w:val="center"/>
              <w:rPr>
                <w:rFonts w:hint="eastAsia" w:ascii="宋体" w:hAnsi="宋体" w:eastAsia="宋体" w:cs="宋体"/>
                <w:sz w:val="24"/>
                <w:szCs w:val="24"/>
              </w:rPr>
            </w:pPr>
            <w:r>
              <w:rPr>
                <w:rFonts w:hint="eastAsia" w:ascii="宋体" w:hAnsi="宋体" w:eastAsia="宋体" w:cs="宋体"/>
                <w:sz w:val="24"/>
                <w:szCs w:val="24"/>
              </w:rPr>
              <w:t>沂水大众劳务有限公司</w:t>
            </w:r>
          </w:p>
        </w:tc>
        <w:tc>
          <w:tcPr>
            <w:tcW w:w="2010" w:type="dxa"/>
            <w:vMerge w:val="continue"/>
            <w:tcBorders>
              <w:top w:val="nil"/>
              <w:left w:val="single" w:color="auto" w:sz="4" w:space="0"/>
              <w:bottom w:val="nil"/>
              <w:right w:val="single" w:color="auto" w:sz="4" w:space="0"/>
              <w:tl2br w:val="nil"/>
              <w:tr2bl w:val="nil"/>
            </w:tcBorders>
            <w:shd w:val="clear" w:color="auto" w:fill="FFFFFF"/>
            <w:noWrap/>
            <w:vAlign w:val="center"/>
          </w:tcPr>
          <w:p>
            <w:pPr>
              <w:rPr>
                <w:rFonts w:hint="eastAsia" w:ascii="华文仿宋" w:hAnsi="华文仿宋" w:eastAsia="华文仿宋" w:cs="华文仿宋"/>
                <w:sz w:val="24"/>
                <w:szCs w:val="24"/>
              </w:rPr>
            </w:pPr>
          </w:p>
        </w:tc>
      </w:tr>
      <w:tr>
        <w:tblPrEx>
          <w:tblCellMar>
            <w:top w:w="0" w:type="dxa"/>
            <w:left w:w="10" w:type="dxa"/>
            <w:bottom w:w="0" w:type="dxa"/>
            <w:right w:w="10" w:type="dxa"/>
          </w:tblCellMar>
        </w:tblPrEx>
        <w:trPr>
          <w:trHeight w:val="484" w:hRule="exact"/>
          <w:jc w:val="center"/>
        </w:trPr>
        <w:tc>
          <w:tcPr>
            <w:tcW w:w="1622" w:type="dxa"/>
            <w:tcBorders>
              <w:top w:val="single" w:color="auto" w:sz="4" w:space="0"/>
              <w:left w:val="single" w:color="auto" w:sz="4" w:space="0"/>
              <w:bottom w:val="nil"/>
              <w:right w:val="nil"/>
              <w:tl2br w:val="nil"/>
              <w:tr2bl w:val="nil"/>
            </w:tcBorders>
            <w:shd w:val="clear" w:color="auto" w:fill="FFFFFF"/>
            <w:noWrap/>
            <w:vAlign w:val="center"/>
          </w:tcPr>
          <w:p>
            <w:pPr>
              <w:pStyle w:val="11"/>
              <w:spacing w:line="240" w:lineRule="auto"/>
              <w:ind w:firstLine="260"/>
              <w:jc w:val="center"/>
              <w:rPr>
                <w:rFonts w:hint="eastAsia" w:ascii="华文仿宋" w:hAnsi="华文仿宋" w:eastAsia="华文仿宋" w:cs="华文仿宋"/>
                <w:sz w:val="24"/>
                <w:szCs w:val="24"/>
              </w:rPr>
            </w:pPr>
            <w:r>
              <w:rPr>
                <w:rFonts w:hint="eastAsia" w:ascii="华文仿宋" w:hAnsi="华文仿宋" w:eastAsia="华文仿宋" w:cs="华文仿宋"/>
                <w:color w:val="000000"/>
                <w:sz w:val="24"/>
                <w:szCs w:val="24"/>
              </w:rPr>
              <w:t>联系电话</w:t>
            </w:r>
          </w:p>
        </w:tc>
        <w:tc>
          <w:tcPr>
            <w:tcW w:w="6526" w:type="dxa"/>
            <w:gridSpan w:val="5"/>
            <w:tcBorders>
              <w:top w:val="single" w:color="auto" w:sz="4" w:space="0"/>
              <w:left w:val="single" w:color="auto" w:sz="4" w:space="0"/>
              <w:bottom w:val="nil"/>
              <w:right w:val="nil"/>
              <w:tl2br w:val="nil"/>
              <w:tr2bl w:val="nil"/>
            </w:tcBorders>
            <w:shd w:val="clear" w:color="auto" w:fill="FFFFFF"/>
            <w:noWrap/>
            <w:vAlign w:val="center"/>
          </w:tcPr>
          <w:p>
            <w:pPr>
              <w:widowControl w:val="0"/>
              <w:jc w:val="center"/>
              <w:rPr>
                <w:rFonts w:hint="eastAsia" w:ascii="宋体" w:hAnsi="宋体" w:eastAsia="宋体" w:cs="宋体"/>
                <w:sz w:val="24"/>
                <w:szCs w:val="24"/>
              </w:rPr>
            </w:pPr>
            <w:r>
              <w:rPr>
                <w:rFonts w:hint="eastAsia" w:ascii="宋体" w:hAnsi="宋体" w:eastAsia="宋体" w:cs="宋体"/>
                <w:sz w:val="24"/>
                <w:szCs w:val="24"/>
              </w:rPr>
              <w:t>18660988126</w:t>
            </w:r>
          </w:p>
        </w:tc>
        <w:tc>
          <w:tcPr>
            <w:tcW w:w="2010" w:type="dxa"/>
            <w:vMerge w:val="continue"/>
            <w:tcBorders>
              <w:top w:val="nil"/>
              <w:left w:val="single" w:color="auto" w:sz="4" w:space="0"/>
              <w:bottom w:val="nil"/>
              <w:right w:val="single" w:color="auto" w:sz="4" w:space="0"/>
              <w:tl2br w:val="nil"/>
              <w:tr2bl w:val="nil"/>
            </w:tcBorders>
            <w:shd w:val="clear" w:color="auto" w:fill="FFFFFF"/>
            <w:noWrap/>
            <w:vAlign w:val="center"/>
          </w:tcPr>
          <w:p>
            <w:pPr>
              <w:rPr>
                <w:rFonts w:hint="eastAsia" w:ascii="华文仿宋" w:hAnsi="华文仿宋" w:eastAsia="华文仿宋" w:cs="华文仿宋"/>
                <w:sz w:val="24"/>
                <w:szCs w:val="24"/>
              </w:rPr>
            </w:pPr>
          </w:p>
        </w:tc>
      </w:tr>
      <w:tr>
        <w:tblPrEx>
          <w:tblCellMar>
            <w:top w:w="0" w:type="dxa"/>
            <w:left w:w="10" w:type="dxa"/>
            <w:bottom w:w="0" w:type="dxa"/>
            <w:right w:w="10" w:type="dxa"/>
          </w:tblCellMar>
        </w:tblPrEx>
        <w:trPr>
          <w:trHeight w:val="11657" w:hRule="exact"/>
          <w:jc w:val="center"/>
        </w:trPr>
        <w:tc>
          <w:tcPr>
            <w:tcW w:w="1622" w:type="dxa"/>
            <w:tcBorders>
              <w:top w:val="single" w:color="auto" w:sz="4" w:space="0"/>
              <w:left w:val="single" w:color="auto" w:sz="4" w:space="0"/>
              <w:bottom w:val="nil"/>
              <w:right w:val="nil"/>
              <w:tl2br w:val="nil"/>
              <w:tr2bl w:val="nil"/>
            </w:tcBorders>
            <w:shd w:val="clear" w:color="auto" w:fill="FFFFFF"/>
            <w:noWrap/>
            <w:vAlign w:val="center"/>
          </w:tcPr>
          <w:p>
            <w:pPr>
              <w:pStyle w:val="11"/>
              <w:spacing w:line="364" w:lineRule="exact"/>
              <w:ind w:firstLine="0"/>
              <w:jc w:val="center"/>
              <w:rPr>
                <w:rFonts w:hint="eastAsia" w:ascii="华文仿宋" w:hAnsi="华文仿宋" w:eastAsia="华文仿宋" w:cs="华文仿宋"/>
                <w:color w:val="000000"/>
                <w:sz w:val="24"/>
                <w:szCs w:val="24"/>
              </w:rPr>
            </w:pPr>
            <w:r>
              <w:rPr>
                <w:rFonts w:hint="eastAsia" w:ascii="华文仿宋" w:hAnsi="华文仿宋" w:eastAsia="华文仿宋" w:cs="华文仿宋"/>
                <w:color w:val="000000"/>
                <w:sz w:val="24"/>
                <w:szCs w:val="24"/>
              </w:rPr>
              <w:t>先进事迹</w:t>
            </w:r>
          </w:p>
          <w:p>
            <w:pPr>
              <w:pStyle w:val="11"/>
              <w:spacing w:line="364" w:lineRule="exact"/>
              <w:ind w:firstLine="0"/>
              <w:jc w:val="center"/>
              <w:rPr>
                <w:rFonts w:hint="eastAsia" w:ascii="华文仿宋" w:hAnsi="华文仿宋" w:eastAsia="华文仿宋" w:cs="华文仿宋"/>
                <w:sz w:val="24"/>
                <w:szCs w:val="24"/>
              </w:rPr>
            </w:pPr>
            <w:r>
              <w:rPr>
                <w:rFonts w:hint="eastAsia" w:ascii="华文仿宋" w:hAnsi="华文仿宋" w:eastAsia="华文仿宋" w:cs="华文仿宋"/>
                <w:color w:val="000000"/>
                <w:sz w:val="24"/>
                <w:szCs w:val="24"/>
              </w:rPr>
              <w:t>（可加页）</w:t>
            </w:r>
          </w:p>
        </w:tc>
        <w:tc>
          <w:tcPr>
            <w:tcW w:w="8536" w:type="dxa"/>
            <w:gridSpan w:val="6"/>
            <w:tcBorders>
              <w:top w:val="single" w:color="auto" w:sz="4" w:space="0"/>
              <w:left w:val="single" w:color="auto" w:sz="4" w:space="0"/>
              <w:bottom w:val="nil"/>
              <w:right w:val="single" w:color="auto" w:sz="4" w:space="0"/>
              <w:tl2br w:val="nil"/>
              <w:tr2bl w:val="nil"/>
            </w:tcBorders>
            <w:shd w:val="clear" w:color="auto" w:fill="FFFFFF"/>
            <w:noWrap/>
          </w:tcPr>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刘建国，中共党员，焊接主任技师，“临沂市首席技师”、“山东省有突出贡献技师”；先后荣获“振兴沂蒙劳动奖章”“临沂市十佳金牌工人”、 “齐鲁石化公司建功立业劳动奖章”、“中国石化集团公司技术能手”等荣誉称号，全国工程建设系统焊工技术比赛个人总分第十名，中石化集团公司焊工技能大赛银奖。</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刘建国掌握着管道固定口机</w:t>
            </w:r>
            <w:bookmarkStart w:id="3" w:name="_GoBack"/>
            <w:bookmarkEnd w:id="3"/>
            <w:r>
              <w:rPr>
                <w:rFonts w:hint="eastAsia"/>
              </w:rPr>
              <w:t>动焊、管道埋弧自动焊、手工下向焊等10余种先进操作技能和钛材、铝镁合金、镍基合金等有色金属的前沿材料焊接工艺，具有较强的理论、实践学习和创新能力；他有10余项革新技术得到推广应用，为公司降本增效200余万元；在大口径及厚壁铝镁合金焊接施工中，由于焊接效率低，焊接缺陷容易超标，他经过现场分析，对材料的化学成分、物理性能、焊接特性进行了分析，制定了加强焊枪角度的调整、控制焊接参数、注意起弧、收弧质量等焊接工艺，并且推广应用铝镁合金管道双弧打底技术，焊接质量、效率、成本得到有效改善。同比情况下，镁合金管道焊接节省氩气40%以上，焊接效率提高2成，仅此一项，为项目降低氩气成本20余万元。为一线工程施工提供了坚实的技术支持。</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他充分利用所学专长解决现场焊接施工难题，高压管道焊接施工中成功改进创新了镍基合金N08825管道固定口全位置机动实芯焊丝焊接工艺，此项技术获得国家发明专利，多年来为公司项目解决焊接难题20余项，挽回经济损失800余万元。</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他还广泛收集焊接技术信息和资料，为施工现场提供焊接技术咨询服务和支持。2011年重庆川渝工程项目解决了“铝镁合金冷箱潮湿环境施工焊接缺陷”，2013年他到宁福建联合石化工程项目部进行了“裂解炉改造中新旧炉管裂纹修复”。他平均每年为施工项目提供技术支持60余项次，解决施工难题20余项，有些还亲自到现场进行焊接指导和培训，为确保十建公司在国家重点建设项目上打得赢、叫得响提供了坚实的技术支持。</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作为公司焊接主任技师，刘建国积极响应公司管道模块化预制和多项焊接新技术开发要求，并积极开展传帮带。几年来，刘建国平均每年培训焊工390余人次，他培养的焊工中一人获得“集团公司技术能手”、一人获得“山东省技术能手”，有16人获得技师资格、3人获得高级技师资格，多人成为施工骨干；其徒弟张之万在2017年6月上海举行的“一带一路”暨金砖国家技能发展与技术创新大赛中，夺得熔化极气保焊单项第三名；2015年12月被评为“全国优秀农民工”。</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 xml:space="preserve">   （一） 刘建国先后获得公司技术改进成果奖7项</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1、2017年《煤气化工艺装置氧气管道施工工法》被公司级工程建设工法；</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2、2017年《管道窄间隙埋弧焊施工工法》被公司级工程建设工法；</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3、2018年“管道固定口机动焊焊枪喷嘴和导电嘴改进措施”获得公司优秀建议成果奖；</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4、2018年“管道固定口机动焊（MAG）工艺在碳钢管道上的应用</w:t>
            </w:r>
            <w:r>
              <w:rPr>
                <w:rFonts w:hint="eastAsia"/>
                <w:lang w:val="en-US" w:eastAsia="zh-CN"/>
              </w:rPr>
              <w:tab/>
            </w:r>
            <w:r>
              <w:rPr>
                <w:rFonts w:hint="eastAsia"/>
                <w:lang w:val="en-US" w:eastAsia="zh-CN"/>
              </w:rPr>
              <w:t>”分公司“六个优工程”优秀成果；</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5、2019年《石油化工轨道式管道固定口熔化极机动焊施工工法》被公司级工程建设工法；</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6、2019年“轨道式管道垂直固定口埋弧自动焊工艺开发”获得公司创新三等奖；</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7、2019年“管道固定口轨道式熔化极自动焊施工工法”被公司级工程建设优秀工法。</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 xml:space="preserve">   </w:t>
            </w:r>
          </w:p>
          <w:p>
            <w:pPr>
              <w:pStyle w:val="2"/>
              <w:rPr>
                <w:rFonts w:hint="eastAsia"/>
                <w:lang w:val="en-US" w:eastAsia="zh-CN"/>
              </w:rPr>
            </w:pPr>
          </w:p>
        </w:tc>
      </w:tr>
      <w:tr>
        <w:tblPrEx>
          <w:tblCellMar>
            <w:top w:w="0" w:type="dxa"/>
            <w:left w:w="10" w:type="dxa"/>
            <w:bottom w:w="0" w:type="dxa"/>
            <w:right w:w="10" w:type="dxa"/>
          </w:tblCellMar>
        </w:tblPrEx>
        <w:trPr>
          <w:trHeight w:val="14893" w:hRule="exact"/>
          <w:jc w:val="center"/>
        </w:trPr>
        <w:tc>
          <w:tcPr>
            <w:tcW w:w="1622" w:type="dxa"/>
            <w:tcBorders>
              <w:top w:val="single" w:color="auto" w:sz="4" w:space="0"/>
              <w:left w:val="single" w:color="auto" w:sz="4" w:space="0"/>
              <w:bottom w:val="nil"/>
              <w:right w:val="nil"/>
              <w:tl2br w:val="nil"/>
              <w:tr2bl w:val="nil"/>
            </w:tcBorders>
            <w:shd w:val="clear" w:color="auto" w:fill="FFFFFF"/>
            <w:noWrap/>
            <w:vAlign w:val="center"/>
          </w:tcPr>
          <w:p>
            <w:pPr>
              <w:pStyle w:val="11"/>
              <w:spacing w:line="374" w:lineRule="exact"/>
              <w:ind w:firstLine="0"/>
              <w:jc w:val="both"/>
              <w:rPr>
                <w:rFonts w:hint="eastAsia" w:ascii="华文仿宋" w:hAnsi="华文仿宋" w:eastAsia="华文仿宋" w:cs="华文仿宋"/>
                <w:color w:val="000000"/>
                <w:sz w:val="24"/>
                <w:szCs w:val="24"/>
              </w:rPr>
            </w:pPr>
          </w:p>
        </w:tc>
        <w:tc>
          <w:tcPr>
            <w:tcW w:w="8536" w:type="dxa"/>
            <w:gridSpan w:val="6"/>
            <w:tcBorders>
              <w:top w:val="single" w:color="auto" w:sz="4" w:space="0"/>
              <w:left w:val="single" w:color="auto" w:sz="4" w:space="0"/>
              <w:bottom w:val="nil"/>
              <w:right w:val="single" w:color="auto" w:sz="4" w:space="0"/>
              <w:tl2br w:val="nil"/>
              <w:tr2bl w:val="nil"/>
            </w:tcBorders>
            <w:shd w:val="clear" w:color="auto" w:fill="FFFFFF"/>
            <w:noWrap/>
            <w:vAlign w:val="top"/>
          </w:tcPr>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（二）专利成果情况</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 xml:space="preserve">   获得国家实用新型专利1项，已申报受理国家实用新型专利1项，国家发明专利4项。</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1、2019年“一种 UNS N08825镍基材料管道实芯焊丝熔化极脉冲MIG焊接工艺”已受理国家发明专利；</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2、2019年“一种管道垂直固定口全位置埋弧焊接工艺”已受理国家发明专利；</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3、2019年“一种吸盘式垂直固定埋弧焊储罐焊接方法”已受理国家发明专利；</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4、2020年获得“一种垂直固定口全位置埋弧自动焊的焊剂托板”国家实用新型专利；</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5、2020年“轨道式管道固定口全位置机动焊工艺 ”已申报国家发明专利；</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rPr>
              <w:t>6</w:t>
            </w:r>
            <w:r>
              <w:rPr>
                <w:rFonts w:hint="eastAsia"/>
                <w:lang w:val="en-US" w:eastAsia="zh-CN"/>
              </w:rPr>
              <w:t>、2020年“一种管道五轴数控火焰等离子切割防飞溅保护装置”已申报国家实用新型专利。</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（三） 论文成果情况；共发表12篇</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1、2015年《TP304L厚壁不锈钢管道埋弧焊接》</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2、2011年《梅雨季节空分冷箱内铝镁合金焊接难点控制》</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3、2015年《浅淡裂解炉改造中新旧炉管的焊接》</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4、2011年《熔化极气体保护焊在中原乙烯项目施工中的应用》</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5、2017年《S31803双相不锈钢管道焊接工艺》</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6、2018年《镍基材料管道焊条电弧打底填充盖面焊接工艺》</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7、2019年《奥氏体不锈钢厚壁管埋弧自动焊焊接工艺》</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8、2018年《管道全位置机动焊碳钢实芯焊丝在管道中的应用》</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9、2019年《影响管道固定口全位置机动焊焊接质量的主要操作因素》</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10 2018年《不锈钢管道实芯焊丝全位置机动焊脉冲MIG焊接》</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11、2019年《镍基合金厚壁管道全位置脉冲机动焊焊接工艺》</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12、2020年《耐热钢厚壁管道的固定口全位置实芯焊丝MAG机动焊焊接工艺》。</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 xml:space="preserve">   （四）  获奖情况</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1、2009年中国石化系统焊工技术竞赛获得个人总分第十名；</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2″2009年中国石油化工集团职业技能竞赛获得焊工银奖；</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3、2009年全国工程建设系统第九届焊工职业技能竞赛获得个人总分第十名，荣获“全国工程建设杯”荣誉称号；</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4、2009年全国工程建设系统第九届焊工职业技能竞赛获得气焊工个人总分第十八名；</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5、2009年全国工程建设系统第九届焊工技能比赛团体第三名；</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6、2009年荣获齐鲁石化公司“建功立业劳动奖章”；</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7、2012年，授予“中国石油化工集团公司技术能手”；</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8、2012年授予“临沂市首席技师”；</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9、2013年获得“临沂市振兴沂蒙劳动奖章”；</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10、2013年获得“临沂市十佳金牌工人”；</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11、2014年获得“中国石化集团高级技师培训班优秀学员”荣誉称号；</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12、2016年授予“山东省有突出贡献的技师”；</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13、2016年“中国石化班组长师资培训班优秀学员”；</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14、2017年获得分公司“优秀共产党员”称号；</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15、2017年获得“中国石化集团拔尖人才培训班优秀学员”荣誉称号；</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16、2018年获得分公司“作风建设标兵”称号；</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17、2018年获得分公司“质量先进个人”；</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18、2018年获得公司“最强建设者”荣誉称号；</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19、2019年获得公司“勇于创新奖”荣誉称号；</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20、2020年获得公司古雷炼化工程项目“优秀共产党员”称号；</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21、2020获得古雷炼化一体化项目“先进个人”荣誉称号。</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ascii="华文仿宋" w:hAnsi="华文仿宋" w:eastAsia="华文仿宋" w:cs="华文仿宋"/>
                <w:color w:val="000000"/>
                <w:sz w:val="24"/>
                <w:szCs w:val="24"/>
              </w:rPr>
            </w:pPr>
          </w:p>
        </w:tc>
      </w:tr>
      <w:tr>
        <w:tblPrEx>
          <w:tblCellMar>
            <w:top w:w="0" w:type="dxa"/>
            <w:left w:w="10" w:type="dxa"/>
            <w:bottom w:w="0" w:type="dxa"/>
            <w:right w:w="10" w:type="dxa"/>
          </w:tblCellMar>
        </w:tblPrEx>
        <w:trPr>
          <w:trHeight w:val="2890" w:hRule="exact"/>
          <w:jc w:val="center"/>
        </w:trPr>
        <w:tc>
          <w:tcPr>
            <w:tcW w:w="1622" w:type="dxa"/>
            <w:tcBorders>
              <w:top w:val="single" w:color="auto" w:sz="4" w:space="0"/>
              <w:left w:val="single" w:color="auto" w:sz="4" w:space="0"/>
              <w:bottom w:val="nil"/>
              <w:right w:val="nil"/>
              <w:tl2br w:val="nil"/>
              <w:tr2bl w:val="nil"/>
            </w:tcBorders>
            <w:shd w:val="clear" w:color="auto" w:fill="FFFFFF"/>
            <w:noWrap/>
            <w:vAlign w:val="center"/>
          </w:tcPr>
          <w:p>
            <w:pPr>
              <w:pStyle w:val="11"/>
              <w:spacing w:line="374" w:lineRule="exact"/>
              <w:ind w:firstLine="0"/>
              <w:jc w:val="both"/>
              <w:rPr>
                <w:rFonts w:hint="eastAsia" w:ascii="华文仿宋" w:hAnsi="华文仿宋" w:eastAsia="华文仿宋" w:cs="华文仿宋"/>
                <w:color w:val="000000"/>
                <w:sz w:val="24"/>
                <w:szCs w:val="24"/>
              </w:rPr>
            </w:pPr>
          </w:p>
        </w:tc>
        <w:tc>
          <w:tcPr>
            <w:tcW w:w="8536" w:type="dxa"/>
            <w:gridSpan w:val="6"/>
            <w:tcBorders>
              <w:top w:val="single" w:color="auto" w:sz="4" w:space="0"/>
              <w:left w:val="single" w:color="auto" w:sz="4" w:space="0"/>
              <w:bottom w:val="nil"/>
              <w:right w:val="single" w:color="auto" w:sz="4" w:space="0"/>
              <w:tl2br w:val="nil"/>
              <w:tr2bl w:val="nil"/>
            </w:tcBorders>
            <w:shd w:val="clear" w:color="auto" w:fill="FFFFFF"/>
            <w:noWrap/>
            <w:vAlign w:val="top"/>
          </w:tcPr>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lang w:val="en-US" w:eastAsia="zh-CN"/>
              </w:rPr>
            </w:pPr>
            <w:r>
              <w:rPr>
                <w:rFonts w:hint="eastAsia"/>
                <w:lang w:val="en-US" w:eastAsia="zh-CN"/>
              </w:rPr>
              <w:t xml:space="preserve">     以上成果在对公司在施工现场提供了有力技术支持。</w:t>
            </w:r>
          </w:p>
          <w:p>
            <w:pPr>
              <w:pStyle w:val="2"/>
              <w:keepNext w:val="0"/>
              <w:keepLines w:val="0"/>
              <w:pageBreakBefore w:val="0"/>
              <w:kinsoku/>
              <w:wordWrap/>
              <w:overflowPunct/>
              <w:topLinePunct w:val="0"/>
              <w:autoSpaceDE/>
              <w:autoSpaceDN/>
              <w:bidi w:val="0"/>
              <w:adjustRightInd/>
              <w:snapToGrid/>
              <w:spacing w:line="288" w:lineRule="auto"/>
              <w:textAlignment w:val="auto"/>
              <w:rPr>
                <w:rFonts w:hint="eastAsia" w:ascii="华文仿宋" w:hAnsi="华文仿宋" w:eastAsia="华文仿宋" w:cs="华文仿宋"/>
                <w:color w:val="000000"/>
                <w:sz w:val="24"/>
                <w:szCs w:val="24"/>
              </w:rPr>
            </w:pPr>
            <w:r>
              <w:rPr>
                <w:rFonts w:hint="eastAsia"/>
                <w:lang w:val="en-US" w:eastAsia="zh-CN"/>
              </w:rPr>
              <w:t>刘建国现为“公司施工技术专家组/特出材料焊接组成员”、“十建公司焊工考试委员会指导老师”。</w:t>
            </w:r>
          </w:p>
        </w:tc>
      </w:tr>
      <w:tr>
        <w:tblPrEx>
          <w:tblCellMar>
            <w:top w:w="0" w:type="dxa"/>
            <w:left w:w="10" w:type="dxa"/>
            <w:bottom w:w="0" w:type="dxa"/>
            <w:right w:w="10" w:type="dxa"/>
          </w:tblCellMar>
        </w:tblPrEx>
        <w:trPr>
          <w:trHeight w:val="3464" w:hRule="exact"/>
          <w:jc w:val="center"/>
        </w:trPr>
        <w:tc>
          <w:tcPr>
            <w:tcW w:w="1622" w:type="dxa"/>
            <w:tcBorders>
              <w:top w:val="single" w:color="auto" w:sz="4" w:space="0"/>
              <w:left w:val="single" w:color="auto" w:sz="4" w:space="0"/>
              <w:bottom w:val="nil"/>
              <w:right w:val="nil"/>
              <w:tl2br w:val="nil"/>
              <w:tr2bl w:val="nil"/>
            </w:tcBorders>
            <w:shd w:val="clear" w:color="auto" w:fill="FFFFFF"/>
            <w:noWrap/>
            <w:vAlign w:val="center"/>
          </w:tcPr>
          <w:p>
            <w:pPr>
              <w:pStyle w:val="11"/>
              <w:spacing w:line="374" w:lineRule="exact"/>
              <w:ind w:firstLine="0"/>
              <w:jc w:val="both"/>
              <w:rPr>
                <w:rFonts w:hint="eastAsia" w:ascii="华文仿宋" w:hAnsi="华文仿宋" w:eastAsia="华文仿宋" w:cs="华文仿宋"/>
                <w:sz w:val="24"/>
                <w:szCs w:val="24"/>
              </w:rPr>
            </w:pPr>
            <w:r>
              <w:rPr>
                <w:rFonts w:hint="eastAsia" w:ascii="华文仿宋" w:hAnsi="华文仿宋" w:eastAsia="华文仿宋" w:cs="华文仿宋"/>
                <w:color w:val="000000"/>
                <w:sz w:val="24"/>
                <w:szCs w:val="24"/>
              </w:rPr>
              <w:t>省级评选表彰机构推荐意见</w:t>
            </w:r>
          </w:p>
        </w:tc>
        <w:tc>
          <w:tcPr>
            <w:tcW w:w="8536" w:type="dxa"/>
            <w:gridSpan w:val="6"/>
            <w:tcBorders>
              <w:top w:val="single" w:color="auto" w:sz="4" w:space="0"/>
              <w:left w:val="single" w:color="auto" w:sz="4" w:space="0"/>
              <w:bottom w:val="nil"/>
              <w:right w:val="single" w:color="auto" w:sz="4" w:space="0"/>
              <w:tl2br w:val="nil"/>
              <w:tr2bl w:val="nil"/>
            </w:tcBorders>
            <w:shd w:val="clear" w:color="auto" w:fill="FFFFFF"/>
            <w:noWrap/>
            <w:vAlign w:val="bottom"/>
          </w:tcPr>
          <w:p>
            <w:pPr>
              <w:pStyle w:val="11"/>
              <w:tabs>
                <w:tab w:val="left" w:pos="2938"/>
                <w:tab w:val="left" w:pos="4050"/>
              </w:tabs>
              <w:spacing w:line="382" w:lineRule="exact"/>
              <w:ind w:right="440" w:firstLine="1920" w:firstLineChars="800"/>
              <w:jc w:val="both"/>
              <w:rPr>
                <w:rFonts w:hint="eastAsia" w:ascii="华文仿宋" w:hAnsi="华文仿宋" w:eastAsia="华文仿宋" w:cs="华文仿宋"/>
                <w:color w:val="000000"/>
                <w:sz w:val="24"/>
                <w:szCs w:val="24"/>
              </w:rPr>
            </w:pPr>
            <w:r>
              <w:rPr>
                <w:rFonts w:hint="eastAsia" w:ascii="华文仿宋" w:hAnsi="华文仿宋" w:eastAsia="华文仿宋" w:cs="华文仿宋"/>
                <w:color w:val="000000"/>
                <w:sz w:val="24"/>
                <w:szCs w:val="24"/>
              </w:rPr>
              <w:t>（省、区、市农民工工作议事协调机构代章）</w:t>
            </w:r>
          </w:p>
          <w:p>
            <w:pPr>
              <w:pStyle w:val="11"/>
              <w:tabs>
                <w:tab w:val="left" w:pos="2938"/>
                <w:tab w:val="left" w:pos="4050"/>
              </w:tabs>
              <w:spacing w:line="382" w:lineRule="exact"/>
              <w:ind w:right="440" w:firstLine="3360" w:firstLineChars="1400"/>
              <w:jc w:val="both"/>
              <w:rPr>
                <w:rFonts w:hint="eastAsia" w:ascii="华文仿宋" w:hAnsi="华文仿宋" w:eastAsia="华文仿宋" w:cs="华文仿宋"/>
                <w:sz w:val="24"/>
                <w:szCs w:val="24"/>
              </w:rPr>
            </w:pPr>
            <w:r>
              <w:rPr>
                <w:rFonts w:hint="eastAsia" w:ascii="华文仿宋" w:hAnsi="华文仿宋" w:eastAsia="华文仿宋" w:cs="华文仿宋"/>
                <w:color w:val="000000"/>
                <w:sz w:val="24"/>
                <w:szCs w:val="24"/>
              </w:rPr>
              <w:t xml:space="preserve"> </w:t>
            </w:r>
            <w:r>
              <w:rPr>
                <w:rFonts w:hint="eastAsia" w:ascii="华文仿宋" w:hAnsi="华文仿宋" w:eastAsia="华文仿宋" w:cs="华文仿宋"/>
                <w:color w:val="000000"/>
                <w:sz w:val="24"/>
                <w:szCs w:val="24"/>
                <w:lang w:val="en-US" w:eastAsia="zh-CN"/>
              </w:rPr>
              <w:t xml:space="preserve">   </w:t>
            </w:r>
            <w:r>
              <w:rPr>
                <w:rFonts w:hint="eastAsia" w:ascii="华文仿宋" w:hAnsi="华文仿宋" w:eastAsia="华文仿宋" w:cs="华文仿宋"/>
                <w:color w:val="000000"/>
                <w:sz w:val="24"/>
                <w:szCs w:val="24"/>
              </w:rPr>
              <w:t>年</w:t>
            </w:r>
            <w:r>
              <w:rPr>
                <w:rFonts w:hint="eastAsia" w:ascii="华文仿宋" w:hAnsi="华文仿宋" w:eastAsia="华文仿宋" w:cs="华文仿宋"/>
                <w:color w:val="000000"/>
                <w:sz w:val="24"/>
                <w:szCs w:val="24"/>
                <w:lang w:val="en-US" w:eastAsia="zh-CN"/>
              </w:rPr>
              <w:t xml:space="preserve">   </w:t>
            </w:r>
            <w:r>
              <w:rPr>
                <w:rFonts w:hint="eastAsia" w:ascii="华文仿宋" w:hAnsi="华文仿宋" w:eastAsia="华文仿宋" w:cs="华文仿宋"/>
                <w:color w:val="000000"/>
                <w:sz w:val="24"/>
                <w:szCs w:val="24"/>
              </w:rPr>
              <w:t>月</w:t>
            </w:r>
            <w:r>
              <w:rPr>
                <w:rFonts w:hint="eastAsia" w:ascii="华文仿宋" w:hAnsi="华文仿宋" w:eastAsia="华文仿宋" w:cs="华文仿宋"/>
                <w:color w:val="000000"/>
                <w:sz w:val="24"/>
                <w:szCs w:val="24"/>
                <w:lang w:val="en-US" w:eastAsia="zh-CN"/>
              </w:rPr>
              <w:t xml:space="preserve">    </w:t>
            </w:r>
            <w:r>
              <w:rPr>
                <w:rFonts w:hint="eastAsia" w:ascii="华文仿宋" w:hAnsi="华文仿宋" w:eastAsia="华文仿宋" w:cs="华文仿宋"/>
                <w:color w:val="000000"/>
                <w:sz w:val="24"/>
                <w:szCs w:val="24"/>
              </w:rPr>
              <w:t>日</w:t>
            </w:r>
          </w:p>
        </w:tc>
      </w:tr>
      <w:tr>
        <w:tblPrEx>
          <w:tblCellMar>
            <w:top w:w="0" w:type="dxa"/>
            <w:left w:w="10" w:type="dxa"/>
            <w:bottom w:w="0" w:type="dxa"/>
            <w:right w:w="10" w:type="dxa"/>
          </w:tblCellMar>
        </w:tblPrEx>
        <w:trPr>
          <w:trHeight w:val="3418" w:hRule="exact"/>
          <w:jc w:val="center"/>
        </w:trPr>
        <w:tc>
          <w:tcPr>
            <w:tcW w:w="1622" w:type="dxa"/>
            <w:tcBorders>
              <w:top w:val="single" w:color="auto" w:sz="4" w:space="0"/>
              <w:left w:val="single" w:color="auto" w:sz="4" w:space="0"/>
              <w:bottom w:val="single" w:color="auto" w:sz="4" w:space="0"/>
              <w:right w:val="nil"/>
              <w:tl2br w:val="nil"/>
              <w:tr2bl w:val="nil"/>
            </w:tcBorders>
            <w:shd w:val="clear" w:color="auto" w:fill="FFFFFF"/>
            <w:noWrap/>
            <w:vAlign w:val="center"/>
          </w:tcPr>
          <w:p>
            <w:pPr>
              <w:pStyle w:val="11"/>
              <w:spacing w:line="364" w:lineRule="exact"/>
              <w:ind w:firstLine="0"/>
              <w:jc w:val="center"/>
              <w:rPr>
                <w:rFonts w:hint="eastAsia" w:ascii="华文仿宋" w:hAnsi="华文仿宋" w:eastAsia="华文仿宋" w:cs="华文仿宋"/>
                <w:sz w:val="24"/>
                <w:szCs w:val="24"/>
              </w:rPr>
            </w:pPr>
            <w:r>
              <w:rPr>
                <w:rFonts w:hint="eastAsia" w:ascii="华文仿宋" w:hAnsi="华文仿宋" w:eastAsia="华文仿宋" w:cs="华文仿宋"/>
                <w:color w:val="000000"/>
                <w:sz w:val="24"/>
                <w:szCs w:val="24"/>
              </w:rPr>
              <w:t>全国评选表彰委员会审核意见</w:t>
            </w:r>
          </w:p>
        </w:tc>
        <w:tc>
          <w:tcPr>
            <w:tcW w:w="8536" w:type="dxa"/>
            <w:gridSpan w:val="6"/>
            <w:tcBorders>
              <w:top w:val="single" w:color="auto" w:sz="4" w:space="0"/>
              <w:left w:val="single" w:color="auto" w:sz="4" w:space="0"/>
              <w:bottom w:val="single" w:color="auto" w:sz="4" w:space="0"/>
              <w:right w:val="single" w:color="auto" w:sz="4" w:space="0"/>
              <w:tl2br w:val="nil"/>
              <w:tr2bl w:val="nil"/>
            </w:tcBorders>
            <w:shd w:val="clear" w:color="auto" w:fill="FFFFFF"/>
            <w:noWrap/>
            <w:vAlign w:val="bottom"/>
          </w:tcPr>
          <w:p>
            <w:pPr>
              <w:pStyle w:val="11"/>
              <w:tabs>
                <w:tab w:val="left" w:pos="2783"/>
                <w:tab w:val="left" w:pos="3895"/>
              </w:tabs>
              <w:spacing w:line="364" w:lineRule="exact"/>
              <w:ind w:right="440" w:firstLine="1920" w:firstLineChars="800"/>
              <w:jc w:val="both"/>
              <w:rPr>
                <w:rFonts w:hint="eastAsia" w:ascii="华文仿宋" w:hAnsi="华文仿宋" w:eastAsia="华文仿宋" w:cs="华文仿宋"/>
                <w:color w:val="000000"/>
                <w:sz w:val="24"/>
                <w:szCs w:val="24"/>
              </w:rPr>
            </w:pPr>
            <w:r>
              <w:rPr>
                <w:rFonts w:hint="eastAsia" w:ascii="华文仿宋" w:hAnsi="华文仿宋" w:eastAsia="华文仿宋" w:cs="华文仿宋"/>
                <w:color w:val="000000"/>
                <w:sz w:val="24"/>
                <w:szCs w:val="24"/>
              </w:rPr>
              <w:t>（国务院农民工工作领导小组办公室代章）</w:t>
            </w:r>
          </w:p>
          <w:p>
            <w:pPr>
              <w:pStyle w:val="11"/>
              <w:tabs>
                <w:tab w:val="left" w:pos="2783"/>
                <w:tab w:val="left" w:pos="3895"/>
              </w:tabs>
              <w:spacing w:line="364" w:lineRule="exact"/>
              <w:ind w:right="440" w:firstLine="3840" w:firstLineChars="1600"/>
              <w:jc w:val="left"/>
              <w:rPr>
                <w:rFonts w:hint="eastAsia" w:ascii="华文仿宋" w:hAnsi="华文仿宋" w:eastAsia="华文仿宋" w:cs="华文仿宋"/>
                <w:sz w:val="24"/>
                <w:szCs w:val="24"/>
              </w:rPr>
            </w:pPr>
            <w:r>
              <w:rPr>
                <w:rFonts w:hint="eastAsia" w:ascii="华文仿宋" w:hAnsi="华文仿宋" w:eastAsia="华文仿宋" w:cs="华文仿宋"/>
                <w:color w:val="000000"/>
                <w:sz w:val="24"/>
                <w:szCs w:val="24"/>
              </w:rPr>
              <w:t>年</w:t>
            </w:r>
            <w:r>
              <w:rPr>
                <w:rFonts w:hint="eastAsia" w:ascii="华文仿宋" w:hAnsi="华文仿宋" w:eastAsia="华文仿宋" w:cs="华文仿宋"/>
                <w:color w:val="000000"/>
                <w:sz w:val="24"/>
                <w:szCs w:val="24"/>
                <w:lang w:val="en-US" w:eastAsia="zh-CN"/>
              </w:rPr>
              <w:t xml:space="preserve">   </w:t>
            </w:r>
            <w:r>
              <w:rPr>
                <w:rFonts w:hint="eastAsia" w:ascii="华文仿宋" w:hAnsi="华文仿宋" w:eastAsia="华文仿宋" w:cs="华文仿宋"/>
                <w:color w:val="000000"/>
                <w:sz w:val="24"/>
                <w:szCs w:val="24"/>
              </w:rPr>
              <w:t>月</w:t>
            </w:r>
            <w:r>
              <w:rPr>
                <w:rFonts w:hint="eastAsia" w:ascii="华文仿宋" w:hAnsi="华文仿宋" w:eastAsia="华文仿宋" w:cs="华文仿宋"/>
                <w:color w:val="000000"/>
                <w:sz w:val="24"/>
                <w:szCs w:val="24"/>
                <w:lang w:val="en-US" w:eastAsia="zh-CN"/>
              </w:rPr>
              <w:t xml:space="preserve">   </w:t>
            </w:r>
            <w:r>
              <w:rPr>
                <w:rFonts w:hint="eastAsia" w:ascii="华文仿宋" w:hAnsi="华文仿宋" w:eastAsia="华文仿宋" w:cs="华文仿宋"/>
                <w:color w:val="000000"/>
                <w:sz w:val="24"/>
                <w:szCs w:val="24"/>
              </w:rPr>
              <w:t>日</w:t>
            </w:r>
          </w:p>
        </w:tc>
      </w:tr>
    </w:tbl>
    <w:p>
      <w:pPr>
        <w:spacing w:line="1" w:lineRule="exact"/>
        <w:rPr>
          <w:rFonts w:hint="eastAsia" w:ascii="仿宋" w:hAnsi="仿宋" w:eastAsia="仿宋"/>
          <w:sz w:val="24"/>
          <w:lang w:val="en-US" w:eastAsia="zh-CN"/>
        </w:rPr>
        <w:sectPr>
          <w:headerReference r:id="rId3" w:type="default"/>
          <w:footerReference r:id="rId4" w:type="default"/>
          <w:pgSz w:w="11900" w:h="16840"/>
          <w:pgMar w:top="1134" w:right="720" w:bottom="720" w:left="720" w:header="0" w:footer="6" w:gutter="0"/>
          <w:cols w:space="0" w:num="1"/>
          <w:rtlGutter w:val="0"/>
          <w:docGrid w:linePitch="360" w:charSpace="0"/>
        </w:sectPr>
      </w:pPr>
      <w:r>
        <w:br w:type="page"/>
      </w:r>
    </w:p>
    <w:p/>
    <w:sectPr>
      <w:pgSz w:w="11900" w:h="16840"/>
      <w:pgMar w:top="2098" w:right="1531" w:bottom="1984" w:left="1587" w:header="0" w:footer="6"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方正楷体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rPr>
        <w:rFonts w:hint="default"/>
      </w:rPr>
    </w:pPr>
    <w:r>
      <w:rPr>
        <w:sz w:val="21"/>
      </w:rPr>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5"/>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6376D4"/>
    <w:rsid w:val="006376D4"/>
    <w:rsid w:val="00761897"/>
    <w:rsid w:val="00B35269"/>
    <w:rsid w:val="00C72A80"/>
    <w:rsid w:val="0ECD6E51"/>
    <w:rsid w:val="1278380D"/>
    <w:rsid w:val="1EB42E01"/>
    <w:rsid w:val="1EEC475B"/>
    <w:rsid w:val="1F8A77BD"/>
    <w:rsid w:val="1FF4725E"/>
    <w:rsid w:val="25EA023A"/>
    <w:rsid w:val="28426605"/>
    <w:rsid w:val="2B607FDB"/>
    <w:rsid w:val="2F625FCF"/>
    <w:rsid w:val="32922201"/>
    <w:rsid w:val="344C23DE"/>
    <w:rsid w:val="3658623F"/>
    <w:rsid w:val="37F3392E"/>
    <w:rsid w:val="3B501E1E"/>
    <w:rsid w:val="3DEC4E7B"/>
    <w:rsid w:val="426501FC"/>
    <w:rsid w:val="4597072E"/>
    <w:rsid w:val="4F373F8D"/>
    <w:rsid w:val="599D6F6C"/>
    <w:rsid w:val="5D9D55AE"/>
    <w:rsid w:val="61EA3EFD"/>
    <w:rsid w:val="6D763B51"/>
    <w:rsid w:val="6E060236"/>
    <w:rsid w:val="700D6327"/>
    <w:rsid w:val="73914E80"/>
    <w:rsid w:val="79B867EF"/>
    <w:rsid w:val="7BD94C4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nhideWhenUsed="0" w:uiPriority="99" w:semiHidden="0" w:name="Table Professional"/>
    <w:lsdException w:uiPriority="99" w:name="Table Subtle 1"/>
    <w:lsdException w:uiPriority="99" w:name="Table Subtle 2"/>
    <w:lsdException w:unhideWhenUsed="0" w:uiPriority="99" w:semiHidden="0" w:name="Table Web 1"/>
    <w:lsdException w:unhideWhenUsed="0" w:uiPriority="99" w:semiHidden="0"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pPr>
      <w:jc w:val="both"/>
    </w:pPr>
    <w:rPr>
      <w:rFonts w:hint="eastAsia" w:ascii="Times New Roman" w:hAnsi="Times New Roman" w:eastAsia="Times New Roman" w:cs="Times New Roman"/>
      <w:kern w:val="2"/>
      <w:sz w:val="21"/>
      <w:szCs w:val="20"/>
      <w:lang w:val="en-US" w:eastAsia="zh-CN" w:bidi="ar-SA"/>
    </w:rPr>
  </w:style>
  <w:style w:type="paragraph" w:styleId="3">
    <w:name w:val="heading 2"/>
    <w:basedOn w:val="1"/>
    <w:next w:val="1"/>
    <w:link w:val="8"/>
    <w:unhideWhenUsed/>
    <w:qFormat/>
    <w:uiPriority w:val="0"/>
    <w:pPr>
      <w:keepNext/>
      <w:keepLines/>
      <w:spacing w:line="413" w:lineRule="auto"/>
      <w:outlineLvl w:val="1"/>
    </w:pPr>
    <w:rPr>
      <w:rFonts w:hint="default" w:ascii="Arial" w:hAnsi="Arial" w:eastAsia="黑体"/>
      <w:b/>
      <w:sz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firstLineChars="200"/>
    </w:pPr>
  </w:style>
  <w:style w:type="paragraph" w:styleId="4">
    <w:name w:val="Balloon Text"/>
    <w:basedOn w:val="1"/>
    <w:link w:val="14"/>
    <w:semiHidden/>
    <w:unhideWhenUsed/>
    <w:uiPriority w:val="99"/>
    <w:rPr>
      <w:sz w:val="18"/>
      <w:szCs w:val="18"/>
    </w:rPr>
  </w:style>
  <w:style w:type="paragraph" w:styleId="5">
    <w:name w:val="footer"/>
    <w:basedOn w:val="1"/>
    <w:semiHidden/>
    <w:unhideWhenUsed/>
    <w:qFormat/>
    <w:uiPriority w:val="99"/>
    <w:pPr>
      <w:tabs>
        <w:tab w:val="center" w:pos="4153"/>
        <w:tab w:val="right" w:pos="8306"/>
      </w:tabs>
      <w:snapToGrid w:val="0"/>
      <w:jc w:val="left"/>
    </w:pPr>
    <w:rPr>
      <w:sz w:val="18"/>
    </w:rPr>
  </w:style>
  <w:style w:type="character" w:customStyle="1" w:styleId="8">
    <w:name w:val="标题 2 Char"/>
    <w:basedOn w:val="7"/>
    <w:link w:val="3"/>
    <w:qFormat/>
    <w:uiPriority w:val="0"/>
    <w:rPr>
      <w:rFonts w:ascii="Arial" w:hAnsi="Arial" w:eastAsia="黑体" w:cs="Times New Roman"/>
      <w:b/>
      <w:sz w:val="32"/>
      <w:szCs w:val="20"/>
    </w:rPr>
  </w:style>
  <w:style w:type="paragraph" w:customStyle="1" w:styleId="9">
    <w:name w:val="Body text|1"/>
    <w:basedOn w:val="1"/>
    <w:unhideWhenUsed/>
    <w:qFormat/>
    <w:uiPriority w:val="0"/>
    <w:pPr>
      <w:widowControl w:val="0"/>
      <w:spacing w:line="418" w:lineRule="auto"/>
      <w:ind w:firstLine="400"/>
    </w:pPr>
    <w:rPr>
      <w:rFonts w:ascii="宋体" w:hAnsi="宋体" w:eastAsia="宋体"/>
      <w:sz w:val="30"/>
      <w:lang w:val="zh-TW" w:eastAsia="zh-TW"/>
    </w:rPr>
  </w:style>
  <w:style w:type="paragraph" w:customStyle="1" w:styleId="10">
    <w:name w:val="Heading #2|1"/>
    <w:basedOn w:val="1"/>
    <w:unhideWhenUsed/>
    <w:qFormat/>
    <w:uiPriority w:val="0"/>
    <w:pPr>
      <w:widowControl w:val="0"/>
      <w:spacing w:line="720" w:lineRule="exact"/>
      <w:jc w:val="center"/>
      <w:outlineLvl w:val="1"/>
    </w:pPr>
    <w:rPr>
      <w:rFonts w:ascii="宋体" w:hAnsi="宋体" w:eastAsia="宋体"/>
      <w:sz w:val="40"/>
      <w:lang w:val="zh-TW" w:eastAsia="zh-TW"/>
    </w:rPr>
  </w:style>
  <w:style w:type="paragraph" w:customStyle="1" w:styleId="11">
    <w:name w:val="Other|1"/>
    <w:basedOn w:val="1"/>
    <w:unhideWhenUsed/>
    <w:qFormat/>
    <w:uiPriority w:val="0"/>
    <w:pPr>
      <w:widowControl w:val="0"/>
      <w:spacing w:line="418" w:lineRule="auto"/>
      <w:ind w:firstLine="400"/>
    </w:pPr>
    <w:rPr>
      <w:rFonts w:ascii="宋体" w:hAnsi="宋体" w:eastAsia="宋体"/>
      <w:sz w:val="30"/>
      <w:lang w:val="zh-TW" w:eastAsia="zh-TW"/>
    </w:rPr>
  </w:style>
  <w:style w:type="paragraph" w:customStyle="1" w:styleId="12">
    <w:name w:val="Header or footer|1"/>
    <w:basedOn w:val="1"/>
    <w:unhideWhenUsed/>
    <w:qFormat/>
    <w:uiPriority w:val="0"/>
    <w:pPr>
      <w:widowControl w:val="0"/>
    </w:pPr>
    <w:rPr>
      <w:rFonts w:ascii="宋体" w:hAnsi="宋体" w:eastAsia="宋体"/>
      <w:sz w:val="30"/>
      <w:lang w:val="zh-TW" w:eastAsia="zh-TW"/>
    </w:rPr>
  </w:style>
  <w:style w:type="paragraph" w:customStyle="1" w:styleId="13">
    <w:name w:val="Default"/>
    <w:qFormat/>
    <w:uiPriority w:val="0"/>
    <w:pPr>
      <w:widowControl w:val="0"/>
      <w:autoSpaceDE w:val="0"/>
      <w:autoSpaceDN w:val="0"/>
      <w:adjustRightInd w:val="0"/>
      <w:spacing w:line="360" w:lineRule="auto"/>
      <w:ind w:firstLine="200" w:firstLineChars="200"/>
    </w:pPr>
    <w:rPr>
      <w:rFonts w:ascii="宋体" w:hAnsi="Calibri" w:eastAsia="宋体" w:cs="宋体"/>
      <w:color w:val="000000"/>
      <w:kern w:val="0"/>
      <w:sz w:val="24"/>
      <w:szCs w:val="24"/>
      <w:lang w:val="en-US" w:eastAsia="zh-CN" w:bidi="ar-SA"/>
    </w:rPr>
  </w:style>
  <w:style w:type="character" w:customStyle="1" w:styleId="14">
    <w:name w:val="批注框文本 Char"/>
    <w:basedOn w:val="7"/>
    <w:link w:val="4"/>
    <w:semiHidden/>
    <w:qFormat/>
    <w:uiPriority w:val="99"/>
    <w:rPr>
      <w:rFonts w:ascii="Times New Roman" w:hAnsi="Times New Roman" w:eastAsia="Times New Roman"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477</Words>
  <Characters>2721</Characters>
  <Lines>22</Lines>
  <Paragraphs>6</Paragraphs>
  <TotalTime>0</TotalTime>
  <ScaleCrop>false</ScaleCrop>
  <LinksUpToDate>false</LinksUpToDate>
  <CharactersWithSpaces>3192</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2020-09-30T12:40:00Z</dcterms:created>
  <dc:creator>AutoBVT</dc:creator>
  <cp:lastModifiedBy>xj</cp:lastModifiedBy>
  <cp:lastPrinted>2020-10-13T08:06:28Z</cp:lastPrinted>
  <dcterms:modified xsi:type="dcterms:W3CDTF">2020-10-13T08:06:31Z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